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tbl>
      <w:tblPr>
        <w:tblW w:w="0" w:type="auto"/>
        <w:jc w:val="left"/>
        <w:tblInd w:w="51" w:type="dxa"/>
        <w:tblBorders>
          <w:top w:val="single" w:sz="6" w:space="0" w:color="000000"/>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675"/>
        <w:gridCol w:w="2025"/>
        <w:gridCol w:w="10800"/>
      </w:tblGrid>
      <w:tr>
        <w:trPr>
          <w:trHeight w:val="0" w:hRule="atLeast"/>
        </w:trPr>
        <w:tc>
          <w:tcPr>
            <w:tcW w:w="675" w:type="dxa"/>
            <w:shd w:val="clear" w:fill="auto"/>
            <w:vAlign w:val="top"/>
          </w:tcPr>
          <w:p>
            <w:pPr>
              <w:pStyle w:val="[Normal]"/>
              <w:rPr>
                <w:sz w:val="20"/>
              </w:rPr>
            </w:pPr>
          </w:p>
        </w:tc>
        <w:tc>
          <w:tcPr>
            <w:tcW w:w="2025"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Timespan</w:t>
            </w:r>
          </w:p>
          <w:p>
            <w:pPr>
              <w:pStyle w:val="[Normal]"/>
              <w:rPr>
                <w:sz w:val="20"/>
              </w:rPr>
            </w:pPr>
          </w:p>
        </w:tc>
        <w:tc>
          <w:tcPr>
            <w:tcW w:w="10800" w:type="dxa"/>
            <w:tcBorders>
              <w:left w:val="single" w:sz="6" w:space="0" w:color="000000"/>
            </w:tcBorders>
            <w:shd w:val="clear" w:fill="auto"/>
            <w:tcMar>
              <w:right w:w="51" w:type="dxa"/>
            </w:tcMar>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Content</w:t>
            </w:r>
          </w:p>
          <w:p>
            <w:pPr>
              <w:pStyle w:val="[Normal]"/>
              <w:rPr>
                <w:sz w:val="20"/>
              </w:rPr>
            </w:pPr>
          </w:p>
        </w:tc>
      </w:tr>
      <w:tr>
        <w:trPr>
          <w:trHeight w:val="0" w:hRule="atLeast"/>
        </w:trPr>
        <w:tc>
          <w:tcPr>
            <w:tcW w:w="675" w:type="dxa"/>
            <w:tcBorders>
              <w:top w:val="nil"/>
            </w:tcBorders>
            <w:shd w:val="clear" w:fill="auto"/>
            <w:vAlign w:val="top"/>
          </w:tcPr>
          <w:p>
            <w:pPr>
              <w:pStyle w:val="[Normal]"/>
              <w:rPr>
                <w:sz w:val="20"/>
              </w:rPr>
            </w:pPr>
            <w:r>
              <w:rPr>
                <w:sz w:val="20"/>
              </w:rPr>
              <w:t xml:space="preserve">1</w:t>
            </w:r>
          </w:p>
        </w:tc>
        <w:tc>
          <w:tcPr>
            <w:tcW w:w="2025" w:type="dxa"/>
            <w:tcBorders>
              <w:top w:val="nil"/>
              <w:left w:val="single" w:sz="6" w:space="0" w:color="000000"/>
            </w:tcBorders>
            <w:shd w:val="clear" w:fill="auto"/>
            <w:vAlign w:val="top"/>
          </w:tcPr>
          <w:p>
            <w:pPr>
              <w:pStyle w:val="[Normal]"/>
              <w:rPr>
                <w:sz w:val="20"/>
              </w:rPr>
            </w:pPr>
            <w:r>
              <w:rPr>
                <w:sz w:val="20"/>
              </w:rPr>
              <w:t xml:space="preserve">0:00.0 - 0:02.9</w:t>
            </w:r>
          </w:p>
        </w:tc>
        <w:tc>
          <w:tcPr>
            <w:tcW w:w="10800" w:type="dxa"/>
            <w:tcBorders>
              <w:top w:val="nil"/>
              <w:left w:val="single" w:sz="6" w:space="0" w:color="000000"/>
            </w:tcBorders>
            <w:shd w:val="clear" w:fill="auto"/>
            <w:tcMar>
              <w:right w:w="51" w:type="dxa"/>
            </w:tcMar>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w:hAnsi="Calibri" w:eastAsia="Calibri"/>
                <w:shd w:val="clear" w:fill="#FFFFFF"/>
              </w:rPr>
            </w:pPr>
            <w:r>
              <w:rPr>
                <w:rFonts w:ascii="Calibri" w:hAnsi="Calibri" w:eastAsia="Calibri"/>
                <w:shd w:val="clear" w:fill="#FFFFFF"/>
              </w:rPr>
              <w:t xml:space="preserve">From Ken McKinely, volunteer, the Ottawa Branch of the Ontario Geneaological Society. I guess I started this geneaology thing, because about 20 some-odd years ago, I finally got to the point where I wanted to confirm some of the stories told to me as I was growing up. The tales that I am a descendant of the Loyalist, a descendant of Mayflower passengers, and the McKinleys came from Ireland at one point in time. Amazingly enough, for family stories, they were all true. However, being a researcher by nature, I was now hooked. I now do family history and geneaology to learn more about the family, connect with distant relatives, and help out others in their own journey to learn about their roots because it is a fun way to learn about history.</w:t>
            </w:r>
          </w:p>
          <w:p>
            <w:pPr>
              <w:pStyle w:val="[Normal]"/>
              <w:rPr>
                <w:sz w:val="20"/>
              </w:rPr>
            </w:pPr>
          </w:p>
        </w:tc>
      </w:tr>
    </w:tbl>
    <w:p>
      <w:pPr>
        <w:pStyle w:val="[Normal]"/>
        <w:rPr>
          <w:sz w:val="20"/>
        </w:rPr>
      </w:pPr>
    </w:p>
    <w:sectPr>
      <w:pgSz w:w="15840" w:h="12240"/>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Light">
    <w:charset w:val="00"/>
    <w:family w:val="auto"/>
    <w:pitch w:val="default"/>
  </w:font>
  <w:font w:name="Calibri">
    <w:charset w:val="00"/>
    <w:family w:val="auto"/>
    <w:pitch w:val="default"/>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